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4C" w:rsidRDefault="009C5A3E" w:rsidP="001554E7">
      <w:pPr>
        <w:rPr>
          <w:lang w:val="de-DE"/>
        </w:rPr>
      </w:pPr>
      <w:r>
        <w:rPr>
          <w:noProof/>
          <w:lang w:val="de-DE" w:eastAsia="de-DE"/>
        </w:rPr>
        <w:drawing>
          <wp:anchor distT="0" distB="0" distL="114300" distR="114300" simplePos="0" relativeHeight="251659264" behindDoc="1" locked="0" layoutInCell="1" allowOverlap="1" wp14:anchorId="60397270" wp14:editId="16E82D46">
            <wp:simplePos x="0" y="0"/>
            <wp:positionH relativeFrom="column">
              <wp:posOffset>3037840</wp:posOffset>
            </wp:positionH>
            <wp:positionV relativeFrom="paragraph">
              <wp:posOffset>-995680</wp:posOffset>
            </wp:positionV>
            <wp:extent cx="762635" cy="563245"/>
            <wp:effectExtent l="0" t="0" r="0" b="0"/>
            <wp:wrapTight wrapText="bothSides">
              <wp:wrapPolygon edited="0">
                <wp:start x="0" y="0"/>
                <wp:lineTo x="0" y="21186"/>
                <wp:lineTo x="21042" y="21186"/>
                <wp:lineTo x="21042" y="0"/>
                <wp:lineTo x="0" y="0"/>
              </wp:wrapPolygon>
            </wp:wrapTight>
            <wp:docPr id="3" name="Bild 2" descr="https://www.ferienhelden.de/sites/default/files/spanische-feiertage-ladenoeffnungszeiten-spanien.jpg"/>
            <wp:cNvGraphicFramePr/>
            <a:graphic xmlns:a="http://schemas.openxmlformats.org/drawingml/2006/main">
              <a:graphicData uri="http://schemas.openxmlformats.org/drawingml/2006/picture">
                <pic:pic xmlns:pic="http://schemas.openxmlformats.org/drawingml/2006/picture">
                  <pic:nvPicPr>
                    <pic:cNvPr id="6" name="Grafik 5" descr="https://www.ferienhelden.de/sites/default/files/spanische-feiertage-ladenoeffnungszeiten-spanien.jpg"/>
                    <pic:cNvPicPr/>
                  </pic:nvPicPr>
                  <pic:blipFill>
                    <a:blip r:embed="rId9" cstate="print"/>
                    <a:srcRect/>
                    <a:stretch>
                      <a:fillRect/>
                    </a:stretch>
                  </pic:blipFill>
                  <pic:spPr bwMode="auto">
                    <a:xfrm>
                      <a:off x="0" y="0"/>
                      <a:ext cx="762635" cy="563245"/>
                    </a:xfrm>
                    <a:prstGeom prst="rect">
                      <a:avLst/>
                    </a:prstGeom>
                    <a:noFill/>
                    <a:ln w="9525">
                      <a:noFill/>
                      <a:miter lim="800000"/>
                      <a:headEnd/>
                      <a:tailEnd/>
                    </a:ln>
                  </pic:spPr>
                </pic:pic>
              </a:graphicData>
            </a:graphic>
          </wp:anchor>
        </w:drawing>
      </w:r>
      <w:r w:rsidR="001554E7">
        <w:rPr>
          <w:noProof/>
          <w:lang w:val="de-DE" w:eastAsia="de-DE"/>
        </w:rPr>
        <w:drawing>
          <wp:anchor distT="0" distB="0" distL="114300" distR="114300" simplePos="0" relativeHeight="251658240" behindDoc="1" locked="0" layoutInCell="1" allowOverlap="1" wp14:anchorId="00A8D6D3" wp14:editId="6845FE4B">
            <wp:simplePos x="0" y="0"/>
            <wp:positionH relativeFrom="column">
              <wp:posOffset>3978275</wp:posOffset>
            </wp:positionH>
            <wp:positionV relativeFrom="paragraph">
              <wp:posOffset>-1091565</wp:posOffset>
            </wp:positionV>
            <wp:extent cx="2350770" cy="1137285"/>
            <wp:effectExtent l="19050" t="0" r="0" b="0"/>
            <wp:wrapTight wrapText="bothSides">
              <wp:wrapPolygon edited="0">
                <wp:start x="-175" y="0"/>
                <wp:lineTo x="-175" y="21347"/>
                <wp:lineTo x="21530" y="21347"/>
                <wp:lineTo x="21530" y="0"/>
                <wp:lineTo x="-175"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40992" t="48529" r="19504" b="17353"/>
                    <a:stretch>
                      <a:fillRect/>
                    </a:stretch>
                  </pic:blipFill>
                  <pic:spPr bwMode="auto">
                    <a:xfrm>
                      <a:off x="0" y="0"/>
                      <a:ext cx="2350770" cy="1137285"/>
                    </a:xfrm>
                    <a:prstGeom prst="rect">
                      <a:avLst/>
                    </a:prstGeom>
                    <a:noFill/>
                    <a:ln w="9525">
                      <a:noFill/>
                      <a:miter lim="800000"/>
                      <a:headEnd/>
                      <a:tailEnd/>
                    </a:ln>
                  </pic:spPr>
                </pic:pic>
              </a:graphicData>
            </a:graphic>
          </wp:anchor>
        </w:drawing>
      </w:r>
      <w:r w:rsidR="00300C4C">
        <w:rPr>
          <w:lang w:val="de-DE"/>
        </w:rPr>
        <w:t>Liebe Schülerinnen und Schüler, liebe Eltern,</w:t>
      </w:r>
    </w:p>
    <w:p w:rsidR="001554E7" w:rsidRDefault="009C5A3E" w:rsidP="001554E7">
      <w:pPr>
        <w:spacing w:after="0"/>
        <w:jc w:val="both"/>
        <w:rPr>
          <w:lang w:val="de-DE"/>
        </w:rPr>
      </w:pPr>
      <w:r>
        <w:rPr>
          <w:lang w:val="de-DE"/>
        </w:rPr>
        <w:t>seit dem Schuljahr 2018/19</w:t>
      </w:r>
      <w:r w:rsidR="00300C4C">
        <w:rPr>
          <w:lang w:val="de-DE"/>
        </w:rPr>
        <w:t xml:space="preserve"> haben die Schülerinnen und Schüler der </w:t>
      </w:r>
      <w:r>
        <w:rPr>
          <w:lang w:val="de-DE"/>
        </w:rPr>
        <w:t>MTS</w:t>
      </w:r>
      <w:r w:rsidR="007D0A92">
        <w:rPr>
          <w:lang w:val="de-DE"/>
        </w:rPr>
        <w:t xml:space="preserve"> </w:t>
      </w:r>
      <w:r w:rsidR="00CC087A">
        <w:rPr>
          <w:lang w:val="de-DE"/>
        </w:rPr>
        <w:t>die Möglichkeit an einem DELE-</w:t>
      </w:r>
      <w:r w:rsidR="00300C4C">
        <w:rPr>
          <w:lang w:val="de-DE"/>
        </w:rPr>
        <w:t>Vorb</w:t>
      </w:r>
      <w:r w:rsidR="0071777C">
        <w:rPr>
          <w:lang w:val="de-DE"/>
        </w:rPr>
        <w:t>e</w:t>
      </w:r>
      <w:r w:rsidR="00300C4C">
        <w:rPr>
          <w:lang w:val="de-DE"/>
        </w:rPr>
        <w:t xml:space="preserve">reitungskurs an der Leibnizschule teilzunehmen und somit </w:t>
      </w:r>
      <w:r w:rsidR="007D0A92">
        <w:rPr>
          <w:lang w:val="de-DE"/>
        </w:rPr>
        <w:t xml:space="preserve">das </w:t>
      </w:r>
      <w:r w:rsidR="007D0A92" w:rsidRPr="007D0A92">
        <w:rPr>
          <w:b/>
          <w:lang w:val="de-DE"/>
        </w:rPr>
        <w:t>DELE-Zertifikat</w:t>
      </w:r>
      <w:r w:rsidR="007D0A92">
        <w:rPr>
          <w:lang w:val="de-DE"/>
        </w:rPr>
        <w:t xml:space="preserve"> (</w:t>
      </w:r>
      <w:proofErr w:type="spellStart"/>
      <w:r w:rsidR="007D0A92">
        <w:rPr>
          <w:b/>
          <w:bCs/>
          <w:lang w:val="de-DE"/>
        </w:rPr>
        <w:t>Diploma</w:t>
      </w:r>
      <w:proofErr w:type="spellEnd"/>
      <w:r w:rsidR="007D0A92">
        <w:rPr>
          <w:b/>
          <w:bCs/>
          <w:lang w:val="de-DE"/>
        </w:rPr>
        <w:t xml:space="preserve"> de </w:t>
      </w:r>
      <w:proofErr w:type="spellStart"/>
      <w:r w:rsidR="007D0A92">
        <w:rPr>
          <w:b/>
          <w:bCs/>
          <w:lang w:val="de-DE"/>
        </w:rPr>
        <w:t>Españ</w:t>
      </w:r>
      <w:r w:rsidR="007D0A92" w:rsidRPr="007D0A92">
        <w:rPr>
          <w:b/>
          <w:bCs/>
          <w:lang w:val="de-DE"/>
        </w:rPr>
        <w:t>ol</w:t>
      </w:r>
      <w:proofErr w:type="spellEnd"/>
      <w:r w:rsidR="007D0A92" w:rsidRPr="007D0A92">
        <w:rPr>
          <w:b/>
          <w:bCs/>
          <w:lang w:val="de-DE"/>
        </w:rPr>
        <w:t xml:space="preserve"> </w:t>
      </w:r>
      <w:proofErr w:type="spellStart"/>
      <w:r w:rsidR="007D0A92" w:rsidRPr="007D0A92">
        <w:rPr>
          <w:b/>
          <w:bCs/>
          <w:lang w:val="de-DE"/>
        </w:rPr>
        <w:t>como</w:t>
      </w:r>
      <w:proofErr w:type="spellEnd"/>
      <w:r w:rsidR="007D0A92" w:rsidRPr="007D0A92">
        <w:rPr>
          <w:b/>
          <w:bCs/>
          <w:lang w:val="de-DE"/>
        </w:rPr>
        <w:t xml:space="preserve"> </w:t>
      </w:r>
      <w:proofErr w:type="spellStart"/>
      <w:r w:rsidR="007D0A92" w:rsidRPr="007D0A92">
        <w:rPr>
          <w:b/>
          <w:bCs/>
          <w:lang w:val="de-DE"/>
        </w:rPr>
        <w:t>Lengua</w:t>
      </w:r>
      <w:proofErr w:type="spellEnd"/>
      <w:r w:rsidR="007D0A92" w:rsidRPr="007D0A92">
        <w:rPr>
          <w:b/>
          <w:bCs/>
          <w:lang w:val="de-DE"/>
        </w:rPr>
        <w:t xml:space="preserve"> </w:t>
      </w:r>
      <w:proofErr w:type="spellStart"/>
      <w:r w:rsidR="007D0A92" w:rsidRPr="007D0A92">
        <w:rPr>
          <w:b/>
          <w:bCs/>
          <w:lang w:val="de-DE"/>
        </w:rPr>
        <w:t>Extranjera</w:t>
      </w:r>
      <w:proofErr w:type="spellEnd"/>
      <w:r w:rsidR="007D0A92" w:rsidRPr="007D0A92">
        <w:rPr>
          <w:lang w:val="de-DE"/>
        </w:rPr>
        <w:t xml:space="preserve"> – „Spanisch als Fremdsprache“</w:t>
      </w:r>
      <w:r w:rsidR="007D0A92">
        <w:rPr>
          <w:lang w:val="de-DE"/>
        </w:rPr>
        <w:t xml:space="preserve">) zu erwerben. </w:t>
      </w:r>
    </w:p>
    <w:p w:rsidR="0071777C" w:rsidRDefault="0071777C" w:rsidP="001554E7">
      <w:pPr>
        <w:spacing w:after="0"/>
        <w:jc w:val="both"/>
        <w:rPr>
          <w:lang w:val="de-DE"/>
        </w:rPr>
      </w:pPr>
    </w:p>
    <w:p w:rsidR="00300C4C" w:rsidRDefault="00300C4C" w:rsidP="001554E7">
      <w:pPr>
        <w:spacing w:after="0"/>
        <w:jc w:val="both"/>
        <w:rPr>
          <w:lang w:val="de-DE"/>
        </w:rPr>
      </w:pPr>
      <w:r w:rsidRPr="00300C4C">
        <w:rPr>
          <w:lang w:val="de-DE"/>
        </w:rPr>
        <w:t xml:space="preserve">Die </w:t>
      </w:r>
      <w:proofErr w:type="spellStart"/>
      <w:r w:rsidRPr="00300C4C">
        <w:rPr>
          <w:rStyle w:val="Hervorhebung"/>
          <w:lang w:val="de-DE"/>
        </w:rPr>
        <w:t>diplomas</w:t>
      </w:r>
      <w:proofErr w:type="spellEnd"/>
      <w:r w:rsidRPr="00300C4C">
        <w:rPr>
          <w:rStyle w:val="Hervorhebung"/>
          <w:lang w:val="de-DE"/>
        </w:rPr>
        <w:t xml:space="preserve"> DELE </w:t>
      </w:r>
      <w:r w:rsidRPr="00300C4C">
        <w:rPr>
          <w:lang w:val="de-DE"/>
        </w:rPr>
        <w:t xml:space="preserve">sind offizielle Zertifikate zum Nachweis spanischer Sprachkenntnisse, die das </w:t>
      </w:r>
      <w:proofErr w:type="spellStart"/>
      <w:r w:rsidRPr="007D0A92">
        <w:rPr>
          <w:b/>
          <w:lang w:val="de-DE"/>
        </w:rPr>
        <w:t>Instituto</w:t>
      </w:r>
      <w:proofErr w:type="spellEnd"/>
      <w:r w:rsidRPr="007D0A92">
        <w:rPr>
          <w:b/>
          <w:lang w:val="de-DE"/>
        </w:rPr>
        <w:t xml:space="preserve"> Cervantes</w:t>
      </w:r>
      <w:r w:rsidRPr="00300C4C">
        <w:rPr>
          <w:lang w:val="de-DE"/>
        </w:rPr>
        <w:t xml:space="preserve"> im Namen des spanischen Ministeriums für Erziehung und Wissenschaft vergibt. Die Anerkennung ist international und gilt gleichermaßen im universitären Bereich und in der Berufswelt. In Spanien werden sie von Universitäten sowie öffentlichen und privaten Institutionen als offizieller Nachweis der spanischen Sprache anerkannt</w:t>
      </w:r>
      <w:r w:rsidR="007D0A92">
        <w:rPr>
          <w:lang w:val="de-DE"/>
        </w:rPr>
        <w:t>.</w:t>
      </w:r>
    </w:p>
    <w:p w:rsidR="0071777C" w:rsidRDefault="0071777C" w:rsidP="001554E7">
      <w:pPr>
        <w:spacing w:after="0"/>
        <w:jc w:val="both"/>
        <w:rPr>
          <w:lang w:val="de-DE"/>
        </w:rPr>
      </w:pPr>
    </w:p>
    <w:p w:rsidR="001554E7" w:rsidRDefault="007D0A92" w:rsidP="001554E7">
      <w:pPr>
        <w:spacing w:after="0"/>
        <w:jc w:val="both"/>
        <w:rPr>
          <w:lang w:val="de-DE"/>
        </w:rPr>
      </w:pPr>
      <w:r>
        <w:rPr>
          <w:lang w:val="de-DE"/>
        </w:rPr>
        <w:t>Das DELE-Zertifikat kann in den verschiedenen Niveaustufen des Gemeinsamen Europäischen Referenzrahme</w:t>
      </w:r>
      <w:r w:rsidR="001B5EA3">
        <w:rPr>
          <w:lang w:val="de-DE"/>
        </w:rPr>
        <w:t xml:space="preserve">ns für Sprachen (A1-C2) erworben werden. Die DELE-Prüfung selbst beinhaltet demnach Aufgaben zum Leseverständnis, Hörverständnis sowie zum mündlichen und schriftlichen Ausdruck und wird vom </w:t>
      </w:r>
      <w:proofErr w:type="spellStart"/>
      <w:r w:rsidR="001B5EA3" w:rsidRPr="009C5A3E">
        <w:rPr>
          <w:i/>
          <w:lang w:val="de-DE"/>
        </w:rPr>
        <w:t>Instituto</w:t>
      </w:r>
      <w:proofErr w:type="spellEnd"/>
      <w:r w:rsidR="001B5EA3" w:rsidRPr="009C5A3E">
        <w:rPr>
          <w:i/>
          <w:lang w:val="de-DE"/>
        </w:rPr>
        <w:t xml:space="preserve"> Cervantes</w:t>
      </w:r>
      <w:r w:rsidR="001B5EA3">
        <w:rPr>
          <w:lang w:val="de-DE"/>
        </w:rPr>
        <w:t xml:space="preserve"> in Frankfurt am Main abgenommen. Die nächsten Prüfungen, für welche sich die Schülerinnen und Schüler anmelden können, finden dann im nächsten Halbjahr statt (Je nach Niveaustufe gibt es unterschiedliche Termine, ca. von April bis Juli). </w:t>
      </w:r>
    </w:p>
    <w:p w:rsidR="0071777C" w:rsidRDefault="0071777C" w:rsidP="001554E7">
      <w:pPr>
        <w:spacing w:after="0"/>
        <w:jc w:val="both"/>
        <w:rPr>
          <w:lang w:val="de-DE"/>
        </w:rPr>
      </w:pPr>
    </w:p>
    <w:p w:rsidR="001B5EA3" w:rsidRDefault="001B5EA3" w:rsidP="001554E7">
      <w:pPr>
        <w:spacing w:after="0"/>
        <w:jc w:val="both"/>
        <w:rPr>
          <w:lang w:val="de-DE"/>
        </w:rPr>
      </w:pPr>
      <w:r>
        <w:rPr>
          <w:lang w:val="de-DE"/>
        </w:rPr>
        <w:t>Eine Übersi</w:t>
      </w:r>
      <w:r w:rsidR="005A3329">
        <w:rPr>
          <w:lang w:val="de-DE"/>
        </w:rPr>
        <w:t>cht über die verschiedenen Niveaustufen</w:t>
      </w:r>
      <w:r>
        <w:rPr>
          <w:lang w:val="de-DE"/>
        </w:rPr>
        <w:t xml:space="preserve"> mit Preisangabe</w:t>
      </w:r>
      <w:r w:rsidR="007245DA">
        <w:rPr>
          <w:rStyle w:val="Funotenzeichen"/>
          <w:lang w:val="de-DE"/>
        </w:rPr>
        <w:footnoteReference w:id="1"/>
      </w:r>
      <w:r>
        <w:rPr>
          <w:lang w:val="de-DE"/>
        </w:rPr>
        <w:t xml:space="preserve"> finden sie auf d</w:t>
      </w:r>
      <w:r w:rsidR="007245DA">
        <w:rPr>
          <w:lang w:val="de-DE"/>
        </w:rPr>
        <w:t xml:space="preserve">er 2. Seite. </w:t>
      </w:r>
      <w:r w:rsidR="00C01DC2">
        <w:rPr>
          <w:lang w:val="de-DE"/>
        </w:rPr>
        <w:t>Das erste Treffen, bei dem weitere Fragen und Details geklärt w</w:t>
      </w:r>
      <w:r w:rsidR="001554E7">
        <w:rPr>
          <w:lang w:val="de-DE"/>
        </w:rPr>
        <w:t xml:space="preserve">erden, findet nächsten </w:t>
      </w:r>
      <w:proofErr w:type="gramStart"/>
      <w:r w:rsidR="00865475" w:rsidRPr="00865475">
        <w:rPr>
          <w:i/>
          <w:lang w:val="de-DE"/>
        </w:rPr>
        <w:t>Termin</w:t>
      </w:r>
      <w:proofErr w:type="gramEnd"/>
      <w:r w:rsidR="00865475" w:rsidRPr="00865475">
        <w:rPr>
          <w:i/>
          <w:lang w:val="de-DE"/>
        </w:rPr>
        <w:t xml:space="preserve"> XY</w:t>
      </w:r>
      <w:r w:rsidR="001554E7">
        <w:rPr>
          <w:lang w:val="de-DE"/>
        </w:rPr>
        <w:t xml:space="preserve"> statt. </w:t>
      </w:r>
    </w:p>
    <w:p w:rsidR="0071777C" w:rsidRDefault="0071777C" w:rsidP="007D0A92">
      <w:pPr>
        <w:jc w:val="both"/>
        <w:rPr>
          <w:b/>
          <w:lang w:val="de-DE"/>
        </w:rPr>
      </w:pPr>
    </w:p>
    <w:p w:rsidR="007D0A92" w:rsidRPr="001B5EA3" w:rsidRDefault="007D0A92" w:rsidP="007D0A92">
      <w:pPr>
        <w:jc w:val="both"/>
        <w:rPr>
          <w:b/>
          <w:lang w:val="de-DE"/>
        </w:rPr>
      </w:pPr>
      <w:r w:rsidRPr="001B5EA3">
        <w:rPr>
          <w:b/>
          <w:lang w:val="de-DE"/>
        </w:rPr>
        <w:t xml:space="preserve">Vorteile </w:t>
      </w:r>
      <w:r w:rsidR="001B5EA3" w:rsidRPr="001B5EA3">
        <w:rPr>
          <w:b/>
          <w:lang w:val="de-DE"/>
        </w:rPr>
        <w:t>und Eigenschaf</w:t>
      </w:r>
      <w:r w:rsidRPr="001B5EA3">
        <w:rPr>
          <w:b/>
          <w:lang w:val="de-DE"/>
        </w:rPr>
        <w:t>ten des DELE-Zertifikats:</w:t>
      </w:r>
    </w:p>
    <w:p w:rsidR="007D0A92" w:rsidRDefault="007D0A92" w:rsidP="007D0A92">
      <w:pPr>
        <w:pStyle w:val="Listenabsatz"/>
        <w:numPr>
          <w:ilvl w:val="0"/>
          <w:numId w:val="1"/>
        </w:numPr>
        <w:jc w:val="both"/>
        <w:rPr>
          <w:lang w:val="de-DE"/>
        </w:rPr>
      </w:pPr>
      <w:r>
        <w:rPr>
          <w:lang w:val="de-DE"/>
        </w:rPr>
        <w:t>unbegrenzte Gültigkeit</w:t>
      </w:r>
    </w:p>
    <w:p w:rsidR="007D0A92" w:rsidRDefault="007D0A92" w:rsidP="007D0A92">
      <w:pPr>
        <w:pStyle w:val="Listenabsatz"/>
        <w:numPr>
          <w:ilvl w:val="0"/>
          <w:numId w:val="1"/>
        </w:numPr>
        <w:jc w:val="both"/>
        <w:rPr>
          <w:lang w:val="de-DE"/>
        </w:rPr>
      </w:pPr>
      <w:r>
        <w:rPr>
          <w:lang w:val="de-DE"/>
        </w:rPr>
        <w:t>international anerkannt</w:t>
      </w:r>
    </w:p>
    <w:p w:rsidR="007D0A92" w:rsidRDefault="007D0A92" w:rsidP="007D0A92">
      <w:pPr>
        <w:pStyle w:val="Listenabsatz"/>
        <w:numPr>
          <w:ilvl w:val="0"/>
          <w:numId w:val="1"/>
        </w:numPr>
        <w:jc w:val="both"/>
        <w:rPr>
          <w:lang w:val="de-DE"/>
        </w:rPr>
      </w:pPr>
      <w:r>
        <w:rPr>
          <w:lang w:val="de-DE"/>
        </w:rPr>
        <w:t>Vorteil an den Universitäten bzw. Anerkennung als offizieller Sprachnachweis bei den Eignungstests vieler Studiengänge</w:t>
      </w:r>
    </w:p>
    <w:p w:rsidR="007D0A92" w:rsidRDefault="001B5EA3" w:rsidP="007D0A92">
      <w:pPr>
        <w:pStyle w:val="Listenabsatz"/>
        <w:numPr>
          <w:ilvl w:val="0"/>
          <w:numId w:val="1"/>
        </w:numPr>
        <w:jc w:val="both"/>
        <w:rPr>
          <w:lang w:val="de-DE"/>
        </w:rPr>
      </w:pPr>
      <w:r>
        <w:rPr>
          <w:lang w:val="de-DE"/>
        </w:rPr>
        <w:t>Vorteile in der Berufswelt</w:t>
      </w:r>
    </w:p>
    <w:p w:rsidR="001B5EA3" w:rsidRDefault="007914C4" w:rsidP="007D0A92">
      <w:pPr>
        <w:pStyle w:val="Listenabsatz"/>
        <w:numPr>
          <w:ilvl w:val="0"/>
          <w:numId w:val="1"/>
        </w:numPr>
        <w:jc w:val="both"/>
        <w:rPr>
          <w:lang w:val="de-DE"/>
        </w:rPr>
      </w:pPr>
      <w:r>
        <w:rPr>
          <w:lang w:val="de-DE"/>
        </w:rPr>
        <w:t>die Anmeldegebühr für Schülerinnen und Schüler einer staatlichen Schule in Hessen ist d</w:t>
      </w:r>
      <w:r w:rsidR="00665153">
        <w:rPr>
          <w:lang w:val="de-DE"/>
        </w:rPr>
        <w:t>eutlich geringer als der normale Preis</w:t>
      </w:r>
      <w:r w:rsidR="00375B8A">
        <w:rPr>
          <w:lang w:val="de-DE"/>
        </w:rPr>
        <w:t xml:space="preserve"> (siehe Spalte Schüler des Landes Hessen)</w:t>
      </w:r>
    </w:p>
    <w:p w:rsidR="005A3329" w:rsidRPr="007D0A92" w:rsidRDefault="005A3329" w:rsidP="007D0A92">
      <w:pPr>
        <w:pStyle w:val="Listenabsatz"/>
        <w:numPr>
          <w:ilvl w:val="0"/>
          <w:numId w:val="1"/>
        </w:numPr>
        <w:jc w:val="both"/>
        <w:rPr>
          <w:lang w:val="de-DE"/>
        </w:rPr>
      </w:pPr>
      <w:r>
        <w:rPr>
          <w:lang w:val="de-DE"/>
        </w:rPr>
        <w:t>Vorteile und zusätzliche Übung für den regulären Spanischunterricht</w:t>
      </w:r>
    </w:p>
    <w:p w:rsidR="0057049E" w:rsidRDefault="001554E7" w:rsidP="007D0A92">
      <w:pPr>
        <w:jc w:val="both"/>
        <w:rPr>
          <w:lang w:val="de-DE"/>
        </w:rPr>
      </w:pPr>
      <w:r>
        <w:rPr>
          <w:lang w:val="de-DE"/>
        </w:rPr>
        <w:t xml:space="preserve">Bei Fragen wenden Sie sich bitte an </w:t>
      </w:r>
      <w:r w:rsidR="009C5A3E">
        <w:rPr>
          <w:lang w:val="de-DE"/>
        </w:rPr>
        <w:t xml:space="preserve">Hrn. </w:t>
      </w:r>
      <w:proofErr w:type="spellStart"/>
      <w:r w:rsidR="009C5A3E">
        <w:rPr>
          <w:lang w:val="de-DE"/>
        </w:rPr>
        <w:t>Tiecke</w:t>
      </w:r>
      <w:proofErr w:type="spellEnd"/>
      <w:r w:rsidR="009C5A3E">
        <w:rPr>
          <w:lang w:val="de-DE"/>
        </w:rPr>
        <w:t xml:space="preserve"> (paultiecke@gmx.de)</w:t>
      </w:r>
    </w:p>
    <w:p w:rsidR="001554E7" w:rsidRDefault="001554E7" w:rsidP="001554E7">
      <w:pPr>
        <w:spacing w:after="0"/>
        <w:jc w:val="both"/>
        <w:rPr>
          <w:lang w:val="de-DE"/>
        </w:rPr>
      </w:pPr>
      <w:r>
        <w:rPr>
          <w:lang w:val="de-DE"/>
        </w:rPr>
        <w:t>Mit freundlichen Grüßen</w:t>
      </w:r>
    </w:p>
    <w:p w:rsidR="001554E7" w:rsidRDefault="009C5A3E" w:rsidP="001554E7">
      <w:pPr>
        <w:spacing w:after="0"/>
        <w:jc w:val="both"/>
        <w:rPr>
          <w:lang w:val="de-DE"/>
        </w:rPr>
      </w:pPr>
      <w:r>
        <w:rPr>
          <w:lang w:val="de-DE"/>
        </w:rPr>
        <w:t xml:space="preserve">Paul </w:t>
      </w:r>
      <w:proofErr w:type="spellStart"/>
      <w:r>
        <w:rPr>
          <w:lang w:val="de-DE"/>
        </w:rPr>
        <w:t>Tiecke</w:t>
      </w:r>
      <w:proofErr w:type="spellEnd"/>
      <w:r>
        <w:rPr>
          <w:lang w:val="de-DE"/>
        </w:rPr>
        <w:t xml:space="preserve"> </w:t>
      </w:r>
      <w:r w:rsidR="005B724F">
        <w:rPr>
          <w:lang w:val="de-DE"/>
        </w:rPr>
        <w:t>im Namen der</w:t>
      </w:r>
      <w:r w:rsidR="001554E7">
        <w:rPr>
          <w:lang w:val="de-DE"/>
        </w:rPr>
        <w:t xml:space="preserve"> Fachschaft Spanisch</w:t>
      </w:r>
    </w:p>
    <w:p w:rsidR="001554E7" w:rsidRDefault="001554E7" w:rsidP="001554E7">
      <w:pPr>
        <w:jc w:val="both"/>
        <w:rPr>
          <w:b/>
          <w:sz w:val="24"/>
          <w:szCs w:val="24"/>
          <w:u w:val="single"/>
          <w:lang w:val="de-DE"/>
        </w:rPr>
      </w:pPr>
    </w:p>
    <w:p w:rsidR="0057049E" w:rsidRDefault="0057049E" w:rsidP="007D0A92">
      <w:pPr>
        <w:jc w:val="both"/>
        <w:rPr>
          <w:lang w:val="de-DE"/>
        </w:rPr>
      </w:pPr>
    </w:p>
    <w:p w:rsidR="0057049E" w:rsidRDefault="0071777C" w:rsidP="007D0A92">
      <w:pPr>
        <w:jc w:val="both"/>
        <w:rPr>
          <w:lang w:val="de-DE"/>
        </w:rPr>
      </w:pPr>
      <w:r>
        <w:rPr>
          <w:noProof/>
          <w:lang w:val="de-DE" w:eastAsia="de-DE"/>
        </w:rPr>
        <w:lastRenderedPageBreak/>
        <w:drawing>
          <wp:anchor distT="0" distB="0" distL="114300" distR="114300" simplePos="0" relativeHeight="251660288" behindDoc="1" locked="0" layoutInCell="1" allowOverlap="1">
            <wp:simplePos x="0" y="0"/>
            <wp:positionH relativeFrom="column">
              <wp:posOffset>-83820</wp:posOffset>
            </wp:positionH>
            <wp:positionV relativeFrom="paragraph">
              <wp:posOffset>163195</wp:posOffset>
            </wp:positionV>
            <wp:extent cx="1922780" cy="4082415"/>
            <wp:effectExtent l="19050" t="0" r="1270" b="0"/>
            <wp:wrapTight wrapText="bothSides">
              <wp:wrapPolygon edited="0">
                <wp:start x="-214" y="0"/>
                <wp:lineTo x="-214" y="21469"/>
                <wp:lineTo x="21614" y="21469"/>
                <wp:lineTo x="21614" y="0"/>
                <wp:lineTo x="-214" y="0"/>
              </wp:wrapPolygon>
            </wp:wrapTight>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r="63059"/>
                    <a:stretch>
                      <a:fillRect/>
                    </a:stretch>
                  </pic:blipFill>
                  <pic:spPr bwMode="auto">
                    <a:xfrm>
                      <a:off x="0" y="0"/>
                      <a:ext cx="1922780" cy="4082415"/>
                    </a:xfrm>
                    <a:prstGeom prst="rect">
                      <a:avLst/>
                    </a:prstGeom>
                    <a:noFill/>
                    <a:ln w="9525">
                      <a:noFill/>
                      <a:miter lim="800000"/>
                      <a:headEnd/>
                      <a:tailEnd/>
                    </a:ln>
                  </pic:spPr>
                </pic:pic>
              </a:graphicData>
            </a:graphic>
          </wp:anchor>
        </w:drawing>
      </w:r>
    </w:p>
    <w:p w:rsidR="0057049E" w:rsidRDefault="0071777C" w:rsidP="007D0A92">
      <w:pPr>
        <w:jc w:val="both"/>
        <w:rPr>
          <w:lang w:val="de-DE"/>
        </w:rPr>
      </w:pPr>
      <w:r>
        <w:rPr>
          <w:noProof/>
          <w:lang w:val="de-DE" w:eastAsia="de-DE"/>
        </w:rPr>
        <w:drawing>
          <wp:anchor distT="0" distB="0" distL="114300" distR="114300" simplePos="0" relativeHeight="251663360" behindDoc="1" locked="0" layoutInCell="1" allowOverlap="1">
            <wp:simplePos x="0" y="0"/>
            <wp:positionH relativeFrom="column">
              <wp:posOffset>822960</wp:posOffset>
            </wp:positionH>
            <wp:positionV relativeFrom="paragraph">
              <wp:posOffset>31115</wp:posOffset>
            </wp:positionV>
            <wp:extent cx="1926590" cy="967105"/>
            <wp:effectExtent l="19050" t="0" r="0" b="0"/>
            <wp:wrapTight wrapText="bothSides">
              <wp:wrapPolygon edited="0">
                <wp:start x="-214" y="0"/>
                <wp:lineTo x="-214" y="21274"/>
                <wp:lineTo x="21572" y="21274"/>
                <wp:lineTo x="21572" y="0"/>
                <wp:lineTo x="-214" y="0"/>
              </wp:wrapPolygon>
            </wp:wrapTight>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t="5990" r="63059" b="70312"/>
                    <a:stretch>
                      <a:fillRect/>
                    </a:stretch>
                  </pic:blipFill>
                  <pic:spPr bwMode="auto">
                    <a:xfrm>
                      <a:off x="0" y="0"/>
                      <a:ext cx="1926590" cy="967105"/>
                    </a:xfrm>
                    <a:prstGeom prst="rect">
                      <a:avLst/>
                    </a:prstGeom>
                    <a:noFill/>
                    <a:ln w="9525">
                      <a:noFill/>
                      <a:miter lim="800000"/>
                      <a:headEnd/>
                      <a:tailEnd/>
                    </a:ln>
                  </pic:spPr>
                </pic:pic>
              </a:graphicData>
            </a:graphic>
          </wp:anchor>
        </w:drawing>
      </w:r>
    </w:p>
    <w:p w:rsidR="0057049E" w:rsidRDefault="0057049E" w:rsidP="007D0A92">
      <w:pPr>
        <w:jc w:val="both"/>
        <w:rPr>
          <w:lang w:val="de-DE"/>
        </w:rPr>
      </w:pPr>
    </w:p>
    <w:p w:rsidR="00375B8A" w:rsidRDefault="00375B8A" w:rsidP="007D0A92">
      <w:pPr>
        <w:jc w:val="both"/>
        <w:rPr>
          <w:lang w:val="de-DE"/>
        </w:rPr>
      </w:pPr>
    </w:p>
    <w:p w:rsidR="00375B8A" w:rsidRDefault="0071777C" w:rsidP="007D0A92">
      <w:pPr>
        <w:jc w:val="both"/>
        <w:rPr>
          <w:lang w:val="de-DE"/>
        </w:rPr>
      </w:pPr>
      <w:r>
        <w:rPr>
          <w:noProof/>
          <w:lang w:val="de-DE" w:eastAsia="de-DE"/>
        </w:rPr>
        <w:drawing>
          <wp:anchor distT="0" distB="0" distL="114300" distR="114300" simplePos="0" relativeHeight="251661312" behindDoc="1" locked="0" layoutInCell="1" allowOverlap="1">
            <wp:simplePos x="0" y="0"/>
            <wp:positionH relativeFrom="column">
              <wp:posOffset>822960</wp:posOffset>
            </wp:positionH>
            <wp:positionV relativeFrom="paragraph">
              <wp:posOffset>29845</wp:posOffset>
            </wp:positionV>
            <wp:extent cx="1926590" cy="3508375"/>
            <wp:effectExtent l="19050" t="0" r="0" b="0"/>
            <wp:wrapTight wrapText="bothSides">
              <wp:wrapPolygon edited="0">
                <wp:start x="-214" y="0"/>
                <wp:lineTo x="-214" y="21463"/>
                <wp:lineTo x="21572" y="21463"/>
                <wp:lineTo x="21572" y="0"/>
                <wp:lineTo x="-214" y="0"/>
              </wp:wrapPolygon>
            </wp:wrapTight>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r="63267"/>
                    <a:stretch>
                      <a:fillRect/>
                    </a:stretch>
                  </pic:blipFill>
                  <pic:spPr bwMode="auto">
                    <a:xfrm>
                      <a:off x="0" y="0"/>
                      <a:ext cx="1926590" cy="3508375"/>
                    </a:xfrm>
                    <a:prstGeom prst="rect">
                      <a:avLst/>
                    </a:prstGeom>
                    <a:noFill/>
                    <a:ln w="9525">
                      <a:noFill/>
                      <a:miter lim="800000"/>
                      <a:headEnd/>
                      <a:tailEnd/>
                    </a:ln>
                  </pic:spPr>
                </pic:pic>
              </a:graphicData>
            </a:graphic>
          </wp:anchor>
        </w:drawing>
      </w:r>
    </w:p>
    <w:p w:rsidR="00375B8A" w:rsidRDefault="00375B8A" w:rsidP="007D0A92">
      <w:pPr>
        <w:jc w:val="both"/>
        <w:rPr>
          <w:lang w:val="de-DE"/>
        </w:rPr>
      </w:pPr>
    </w:p>
    <w:p w:rsidR="00375B8A" w:rsidRDefault="00375B8A" w:rsidP="007D0A92">
      <w:pPr>
        <w:jc w:val="both"/>
        <w:rPr>
          <w:lang w:val="de-DE"/>
        </w:rPr>
      </w:pPr>
    </w:p>
    <w:p w:rsidR="0057049E" w:rsidRDefault="00375B8A" w:rsidP="00375B8A">
      <w:pPr>
        <w:tabs>
          <w:tab w:val="left" w:pos="750"/>
        </w:tabs>
        <w:jc w:val="both"/>
        <w:rPr>
          <w:lang w:val="de-DE"/>
        </w:rPr>
      </w:pPr>
      <w:r>
        <w:rPr>
          <w:lang w:val="de-DE"/>
        </w:rPr>
        <w:tab/>
      </w:r>
    </w:p>
    <w:p w:rsidR="001554E7" w:rsidRDefault="001554E7" w:rsidP="001554E7">
      <w:pPr>
        <w:jc w:val="both"/>
        <w:rPr>
          <w:b/>
          <w:sz w:val="24"/>
          <w:szCs w:val="24"/>
          <w:u w:val="single"/>
          <w:lang w:val="de-DE"/>
        </w:rPr>
      </w:pPr>
    </w:p>
    <w:p w:rsidR="001554E7" w:rsidRDefault="001554E7" w:rsidP="001554E7">
      <w:pPr>
        <w:jc w:val="both"/>
        <w:rPr>
          <w:b/>
          <w:sz w:val="24"/>
          <w:szCs w:val="24"/>
          <w:u w:val="single"/>
          <w:lang w:val="de-DE"/>
        </w:rPr>
      </w:pPr>
    </w:p>
    <w:p w:rsidR="001554E7" w:rsidRDefault="001554E7" w:rsidP="001554E7">
      <w:pPr>
        <w:jc w:val="both"/>
        <w:rPr>
          <w:b/>
          <w:sz w:val="24"/>
          <w:szCs w:val="24"/>
          <w:u w:val="single"/>
          <w:lang w:val="de-DE"/>
        </w:rPr>
      </w:pPr>
    </w:p>
    <w:p w:rsidR="001554E7" w:rsidRDefault="001554E7" w:rsidP="001554E7">
      <w:pPr>
        <w:jc w:val="both"/>
        <w:rPr>
          <w:b/>
          <w:sz w:val="24"/>
          <w:szCs w:val="24"/>
          <w:u w:val="single"/>
          <w:lang w:val="de-DE"/>
        </w:rPr>
      </w:pPr>
    </w:p>
    <w:p w:rsidR="001554E7" w:rsidRDefault="001554E7" w:rsidP="001554E7">
      <w:pPr>
        <w:jc w:val="both"/>
        <w:rPr>
          <w:b/>
          <w:sz w:val="24"/>
          <w:szCs w:val="24"/>
          <w:u w:val="single"/>
          <w:lang w:val="de-DE"/>
        </w:rPr>
      </w:pPr>
    </w:p>
    <w:p w:rsidR="001554E7" w:rsidRDefault="001554E7" w:rsidP="001554E7">
      <w:pPr>
        <w:jc w:val="both"/>
        <w:rPr>
          <w:b/>
          <w:sz w:val="24"/>
          <w:szCs w:val="24"/>
          <w:u w:val="single"/>
          <w:lang w:val="de-DE"/>
        </w:rPr>
      </w:pPr>
    </w:p>
    <w:p w:rsidR="001554E7" w:rsidRDefault="001554E7" w:rsidP="001554E7">
      <w:pPr>
        <w:jc w:val="both"/>
        <w:rPr>
          <w:b/>
          <w:sz w:val="24"/>
          <w:szCs w:val="24"/>
          <w:u w:val="single"/>
          <w:lang w:val="de-DE"/>
        </w:rPr>
      </w:pPr>
    </w:p>
    <w:p w:rsidR="001554E7" w:rsidRDefault="001554E7" w:rsidP="001554E7">
      <w:pPr>
        <w:jc w:val="both"/>
        <w:rPr>
          <w:b/>
          <w:sz w:val="24"/>
          <w:szCs w:val="24"/>
          <w:u w:val="single"/>
          <w:lang w:val="de-DE"/>
        </w:rPr>
      </w:pPr>
    </w:p>
    <w:p w:rsidR="001554E7" w:rsidRDefault="0071777C" w:rsidP="001554E7">
      <w:pPr>
        <w:jc w:val="both"/>
        <w:rPr>
          <w:b/>
          <w:sz w:val="24"/>
          <w:szCs w:val="24"/>
          <w:u w:val="single"/>
          <w:lang w:val="de-DE"/>
        </w:rPr>
      </w:pPr>
      <w:r>
        <w:rPr>
          <w:b/>
          <w:sz w:val="24"/>
          <w:szCs w:val="24"/>
          <w:u w:val="single"/>
          <w:lang w:val="de-DE"/>
        </w:rPr>
        <w:t>_____________</w:t>
      </w:r>
      <w:r w:rsidR="001554E7">
        <w:rPr>
          <w:b/>
          <w:sz w:val="24"/>
          <w:szCs w:val="24"/>
          <w:u w:val="single"/>
          <w:lang w:val="de-DE"/>
        </w:rPr>
        <w:t>______________________________________________________________</w:t>
      </w:r>
      <w:r>
        <w:rPr>
          <w:b/>
          <w:sz w:val="24"/>
          <w:szCs w:val="24"/>
          <w:u w:val="single"/>
          <w:lang w:val="de-DE"/>
        </w:rPr>
        <w:t xml:space="preserve"> </w:t>
      </w:r>
    </w:p>
    <w:p w:rsidR="001554E7" w:rsidRPr="001554E7" w:rsidRDefault="001554E7" w:rsidP="001554E7">
      <w:pPr>
        <w:jc w:val="both"/>
        <w:rPr>
          <w:b/>
          <w:sz w:val="24"/>
          <w:szCs w:val="24"/>
          <w:u w:val="single"/>
          <w:lang w:val="de-DE"/>
        </w:rPr>
      </w:pPr>
      <w:r>
        <w:rPr>
          <w:b/>
          <w:sz w:val="24"/>
          <w:szCs w:val="24"/>
          <w:u w:val="single"/>
          <w:lang w:val="de-DE"/>
        </w:rPr>
        <w:t>Rückmeldung</w:t>
      </w:r>
    </w:p>
    <w:p w:rsidR="001554E7" w:rsidRPr="001554E7" w:rsidRDefault="001554E7" w:rsidP="001554E7">
      <w:pPr>
        <w:spacing w:after="0"/>
        <w:jc w:val="both"/>
        <w:rPr>
          <w:sz w:val="24"/>
          <w:szCs w:val="24"/>
          <w:lang w:val="de-DE"/>
        </w:rPr>
      </w:pPr>
      <w:r w:rsidRPr="001554E7">
        <w:rPr>
          <w:sz w:val="24"/>
          <w:szCs w:val="24"/>
          <w:lang w:val="de-DE"/>
        </w:rPr>
        <w:t>Ich erkläre mich mit der Teilnahme meines Sohnes/ meiner Tochter</w:t>
      </w:r>
    </w:p>
    <w:p w:rsidR="001554E7" w:rsidRPr="001554E7" w:rsidRDefault="001554E7" w:rsidP="001554E7">
      <w:pPr>
        <w:jc w:val="both"/>
        <w:rPr>
          <w:sz w:val="24"/>
          <w:szCs w:val="24"/>
          <w:lang w:val="de-DE"/>
        </w:rPr>
      </w:pPr>
      <w:r>
        <w:rPr>
          <w:sz w:val="24"/>
          <w:szCs w:val="24"/>
          <w:lang w:val="de-DE"/>
        </w:rPr>
        <w:t>am Vorbereitungskurs des DELE-Zertif</w:t>
      </w:r>
      <w:r w:rsidR="0071777C">
        <w:rPr>
          <w:sz w:val="24"/>
          <w:szCs w:val="24"/>
          <w:lang w:val="de-DE"/>
        </w:rPr>
        <w:t>i</w:t>
      </w:r>
      <w:r>
        <w:rPr>
          <w:sz w:val="24"/>
          <w:szCs w:val="24"/>
          <w:lang w:val="de-DE"/>
        </w:rPr>
        <w:t xml:space="preserve">kats </w:t>
      </w:r>
      <w:r w:rsidRPr="001554E7">
        <w:rPr>
          <w:sz w:val="24"/>
          <w:szCs w:val="24"/>
          <w:lang w:val="de-DE"/>
        </w:rPr>
        <w:t>einverstanden.</w:t>
      </w:r>
    </w:p>
    <w:p w:rsidR="001554E7" w:rsidRPr="001554E7" w:rsidRDefault="001554E7" w:rsidP="001554E7">
      <w:pPr>
        <w:jc w:val="both"/>
        <w:rPr>
          <w:sz w:val="24"/>
          <w:szCs w:val="24"/>
          <w:lang w:val="de-DE"/>
        </w:rPr>
      </w:pPr>
      <w:r w:rsidRPr="001554E7">
        <w:rPr>
          <w:sz w:val="24"/>
          <w:szCs w:val="24"/>
          <w:lang w:val="de-DE"/>
        </w:rPr>
        <w:t>Datum/ Unterschrift der Eltern__________________________________________________</w:t>
      </w:r>
    </w:p>
    <w:p w:rsidR="001554E7" w:rsidRDefault="001554E7" w:rsidP="001554E7">
      <w:pPr>
        <w:jc w:val="both"/>
        <w:rPr>
          <w:sz w:val="24"/>
          <w:szCs w:val="24"/>
          <w:lang w:val="de-DE"/>
        </w:rPr>
      </w:pPr>
      <w:r w:rsidRPr="001554E7">
        <w:rPr>
          <w:sz w:val="24"/>
          <w:szCs w:val="24"/>
          <w:lang w:val="de-DE"/>
        </w:rPr>
        <w:t>Name des Schülers/ der</w:t>
      </w:r>
      <w:r w:rsidR="0071777C">
        <w:rPr>
          <w:sz w:val="24"/>
          <w:szCs w:val="24"/>
          <w:lang w:val="de-DE"/>
        </w:rPr>
        <w:t xml:space="preserve"> Schülerin (Klasse/Kurs</w:t>
      </w:r>
      <w:r w:rsidRPr="001554E7">
        <w:rPr>
          <w:sz w:val="24"/>
          <w:szCs w:val="24"/>
          <w:lang w:val="de-DE"/>
        </w:rPr>
        <w:t>)___________</w:t>
      </w:r>
      <w:r w:rsidR="0071777C">
        <w:rPr>
          <w:sz w:val="24"/>
          <w:szCs w:val="24"/>
          <w:lang w:val="de-DE"/>
        </w:rPr>
        <w:t>__________________________</w:t>
      </w:r>
    </w:p>
    <w:p w:rsidR="001554E7" w:rsidRDefault="001554E7" w:rsidP="001554E7">
      <w:pPr>
        <w:rPr>
          <w:sz w:val="24"/>
          <w:szCs w:val="24"/>
          <w:lang w:val="de-DE"/>
        </w:rPr>
      </w:pPr>
      <w:r>
        <w:rPr>
          <w:sz w:val="24"/>
          <w:szCs w:val="24"/>
          <w:lang w:val="de-DE"/>
        </w:rPr>
        <w:t>Voraussichtliche Niveaustufe (ungefähre Einschätzung bitte ankreuzen):</w:t>
      </w:r>
    </w:p>
    <w:tbl>
      <w:tblPr>
        <w:tblStyle w:val="Tabellenraster"/>
        <w:tblW w:w="0" w:type="auto"/>
        <w:tblLook w:val="04A0" w:firstRow="1" w:lastRow="0" w:firstColumn="1" w:lastColumn="0" w:noHBand="0" w:noVBand="1"/>
      </w:tblPr>
      <w:tblGrid>
        <w:gridCol w:w="1535"/>
        <w:gridCol w:w="1535"/>
        <w:gridCol w:w="1535"/>
        <w:gridCol w:w="1535"/>
        <w:gridCol w:w="1536"/>
        <w:gridCol w:w="1536"/>
      </w:tblGrid>
      <w:tr w:rsidR="001554E7" w:rsidTr="00320FEB">
        <w:tc>
          <w:tcPr>
            <w:tcW w:w="1535" w:type="dxa"/>
          </w:tcPr>
          <w:p w:rsidR="001554E7" w:rsidRDefault="001554E7" w:rsidP="00320FEB">
            <w:pPr>
              <w:jc w:val="center"/>
              <w:rPr>
                <w:sz w:val="24"/>
                <w:szCs w:val="24"/>
                <w:lang w:val="de-DE"/>
              </w:rPr>
            </w:pPr>
            <w:r>
              <w:rPr>
                <w:sz w:val="24"/>
                <w:szCs w:val="24"/>
                <w:lang w:val="de-DE"/>
              </w:rPr>
              <w:t>A1</w:t>
            </w:r>
          </w:p>
        </w:tc>
        <w:tc>
          <w:tcPr>
            <w:tcW w:w="1535" w:type="dxa"/>
          </w:tcPr>
          <w:p w:rsidR="001554E7" w:rsidRDefault="001554E7" w:rsidP="00320FEB">
            <w:pPr>
              <w:jc w:val="center"/>
              <w:rPr>
                <w:sz w:val="24"/>
                <w:szCs w:val="24"/>
                <w:lang w:val="de-DE"/>
              </w:rPr>
            </w:pPr>
            <w:r>
              <w:rPr>
                <w:sz w:val="24"/>
                <w:szCs w:val="24"/>
                <w:lang w:val="de-DE"/>
              </w:rPr>
              <w:t>A2</w:t>
            </w:r>
          </w:p>
        </w:tc>
        <w:tc>
          <w:tcPr>
            <w:tcW w:w="1535" w:type="dxa"/>
          </w:tcPr>
          <w:p w:rsidR="001554E7" w:rsidRDefault="001554E7" w:rsidP="00320FEB">
            <w:pPr>
              <w:jc w:val="center"/>
              <w:rPr>
                <w:sz w:val="24"/>
                <w:szCs w:val="24"/>
                <w:lang w:val="de-DE"/>
              </w:rPr>
            </w:pPr>
            <w:r>
              <w:rPr>
                <w:sz w:val="24"/>
                <w:szCs w:val="24"/>
                <w:lang w:val="de-DE"/>
              </w:rPr>
              <w:t>B1</w:t>
            </w:r>
          </w:p>
        </w:tc>
        <w:tc>
          <w:tcPr>
            <w:tcW w:w="1535" w:type="dxa"/>
          </w:tcPr>
          <w:p w:rsidR="001554E7" w:rsidRDefault="001554E7" w:rsidP="00320FEB">
            <w:pPr>
              <w:jc w:val="center"/>
              <w:rPr>
                <w:sz w:val="24"/>
                <w:szCs w:val="24"/>
                <w:lang w:val="de-DE"/>
              </w:rPr>
            </w:pPr>
            <w:r>
              <w:rPr>
                <w:sz w:val="24"/>
                <w:szCs w:val="24"/>
                <w:lang w:val="de-DE"/>
              </w:rPr>
              <w:t>B2</w:t>
            </w:r>
          </w:p>
        </w:tc>
        <w:tc>
          <w:tcPr>
            <w:tcW w:w="1536" w:type="dxa"/>
          </w:tcPr>
          <w:p w:rsidR="001554E7" w:rsidRDefault="001554E7" w:rsidP="00320FEB">
            <w:pPr>
              <w:jc w:val="center"/>
              <w:rPr>
                <w:sz w:val="24"/>
                <w:szCs w:val="24"/>
                <w:lang w:val="de-DE"/>
              </w:rPr>
            </w:pPr>
            <w:r>
              <w:rPr>
                <w:sz w:val="24"/>
                <w:szCs w:val="24"/>
                <w:lang w:val="de-DE"/>
              </w:rPr>
              <w:t>C1</w:t>
            </w:r>
          </w:p>
        </w:tc>
        <w:tc>
          <w:tcPr>
            <w:tcW w:w="1536" w:type="dxa"/>
          </w:tcPr>
          <w:p w:rsidR="001554E7" w:rsidRDefault="001554E7" w:rsidP="00320FEB">
            <w:pPr>
              <w:jc w:val="center"/>
              <w:rPr>
                <w:sz w:val="24"/>
                <w:szCs w:val="24"/>
                <w:lang w:val="de-DE"/>
              </w:rPr>
            </w:pPr>
            <w:r>
              <w:rPr>
                <w:sz w:val="24"/>
                <w:szCs w:val="24"/>
                <w:lang w:val="de-DE"/>
              </w:rPr>
              <w:t>C2</w:t>
            </w:r>
          </w:p>
        </w:tc>
      </w:tr>
      <w:tr w:rsidR="001554E7" w:rsidTr="00320FEB">
        <w:tc>
          <w:tcPr>
            <w:tcW w:w="1535" w:type="dxa"/>
          </w:tcPr>
          <w:p w:rsidR="001554E7" w:rsidRDefault="001554E7" w:rsidP="00320FEB">
            <w:pPr>
              <w:jc w:val="both"/>
              <w:rPr>
                <w:sz w:val="24"/>
                <w:szCs w:val="24"/>
                <w:lang w:val="de-DE"/>
              </w:rPr>
            </w:pPr>
          </w:p>
        </w:tc>
        <w:tc>
          <w:tcPr>
            <w:tcW w:w="1535" w:type="dxa"/>
          </w:tcPr>
          <w:p w:rsidR="001554E7" w:rsidRDefault="001554E7" w:rsidP="00320FEB">
            <w:pPr>
              <w:jc w:val="both"/>
              <w:rPr>
                <w:sz w:val="24"/>
                <w:szCs w:val="24"/>
                <w:lang w:val="de-DE"/>
              </w:rPr>
            </w:pPr>
          </w:p>
        </w:tc>
        <w:tc>
          <w:tcPr>
            <w:tcW w:w="1535" w:type="dxa"/>
          </w:tcPr>
          <w:p w:rsidR="001554E7" w:rsidRDefault="001554E7" w:rsidP="00320FEB">
            <w:pPr>
              <w:jc w:val="both"/>
              <w:rPr>
                <w:sz w:val="24"/>
                <w:szCs w:val="24"/>
                <w:lang w:val="de-DE"/>
              </w:rPr>
            </w:pPr>
          </w:p>
        </w:tc>
        <w:tc>
          <w:tcPr>
            <w:tcW w:w="1535" w:type="dxa"/>
          </w:tcPr>
          <w:p w:rsidR="001554E7" w:rsidRDefault="001554E7" w:rsidP="00320FEB">
            <w:pPr>
              <w:jc w:val="both"/>
              <w:rPr>
                <w:sz w:val="24"/>
                <w:szCs w:val="24"/>
                <w:lang w:val="de-DE"/>
              </w:rPr>
            </w:pPr>
          </w:p>
        </w:tc>
        <w:tc>
          <w:tcPr>
            <w:tcW w:w="1536" w:type="dxa"/>
          </w:tcPr>
          <w:p w:rsidR="001554E7" w:rsidRDefault="001554E7" w:rsidP="00320FEB">
            <w:pPr>
              <w:jc w:val="both"/>
              <w:rPr>
                <w:sz w:val="24"/>
                <w:szCs w:val="24"/>
                <w:lang w:val="de-DE"/>
              </w:rPr>
            </w:pPr>
          </w:p>
        </w:tc>
        <w:tc>
          <w:tcPr>
            <w:tcW w:w="1536" w:type="dxa"/>
          </w:tcPr>
          <w:p w:rsidR="001554E7" w:rsidRDefault="001554E7" w:rsidP="00320FEB">
            <w:pPr>
              <w:jc w:val="both"/>
              <w:rPr>
                <w:sz w:val="24"/>
                <w:szCs w:val="24"/>
                <w:lang w:val="de-DE"/>
              </w:rPr>
            </w:pPr>
          </w:p>
        </w:tc>
      </w:tr>
    </w:tbl>
    <w:p w:rsidR="001554E7" w:rsidRPr="001554E7" w:rsidRDefault="001554E7" w:rsidP="001554E7">
      <w:pPr>
        <w:jc w:val="both"/>
        <w:rPr>
          <w:sz w:val="24"/>
          <w:szCs w:val="24"/>
          <w:lang w:val="de-DE"/>
        </w:rPr>
      </w:pPr>
    </w:p>
    <w:p w:rsidR="001554E7" w:rsidRPr="001554E7" w:rsidRDefault="001554E7" w:rsidP="001554E7">
      <w:pPr>
        <w:jc w:val="both"/>
        <w:rPr>
          <w:sz w:val="16"/>
          <w:szCs w:val="16"/>
          <w:lang w:val="de-DE"/>
        </w:rPr>
      </w:pPr>
      <w:r w:rsidRPr="001554E7">
        <w:rPr>
          <w:sz w:val="16"/>
          <w:szCs w:val="16"/>
          <w:lang w:val="de-DE"/>
        </w:rPr>
        <w:t xml:space="preserve">(Bitte um Rückgabe dieser Erklärung bis </w:t>
      </w:r>
      <w:r w:rsidR="009C5A3E">
        <w:rPr>
          <w:sz w:val="16"/>
          <w:szCs w:val="16"/>
          <w:lang w:val="de-DE"/>
        </w:rPr>
        <w:t xml:space="preserve">___________ </w:t>
      </w:r>
      <w:r>
        <w:rPr>
          <w:sz w:val="16"/>
          <w:szCs w:val="16"/>
          <w:lang w:val="de-DE"/>
        </w:rPr>
        <w:t xml:space="preserve">an </w:t>
      </w:r>
      <w:r w:rsidR="009C5A3E">
        <w:rPr>
          <w:sz w:val="16"/>
          <w:szCs w:val="16"/>
          <w:lang w:val="de-DE"/>
        </w:rPr>
        <w:t xml:space="preserve">Herrn </w:t>
      </w:r>
      <w:proofErr w:type="spellStart"/>
      <w:r w:rsidR="009C5A3E">
        <w:rPr>
          <w:sz w:val="16"/>
          <w:szCs w:val="16"/>
          <w:lang w:val="de-DE"/>
        </w:rPr>
        <w:t>Tiecke</w:t>
      </w:r>
      <w:proofErr w:type="spellEnd"/>
      <w:r w:rsidRPr="001554E7">
        <w:rPr>
          <w:sz w:val="16"/>
          <w:szCs w:val="16"/>
          <w:lang w:val="de-DE"/>
        </w:rPr>
        <w:t>)</w:t>
      </w:r>
    </w:p>
    <w:p w:rsidR="00375B8A" w:rsidRPr="00300C4C" w:rsidRDefault="00375B8A" w:rsidP="001554E7">
      <w:pPr>
        <w:tabs>
          <w:tab w:val="left" w:pos="750"/>
        </w:tabs>
        <w:jc w:val="both"/>
        <w:rPr>
          <w:lang w:val="de-DE"/>
        </w:rPr>
      </w:pPr>
    </w:p>
    <w:sectPr w:rsidR="00375B8A" w:rsidRPr="00300C4C" w:rsidSect="00A43CFA">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144" w:rsidRDefault="00B03144" w:rsidP="00300C4C">
      <w:pPr>
        <w:spacing w:after="0" w:line="240" w:lineRule="auto"/>
      </w:pPr>
      <w:r>
        <w:separator/>
      </w:r>
    </w:p>
  </w:endnote>
  <w:endnote w:type="continuationSeparator" w:id="0">
    <w:p w:rsidR="00B03144" w:rsidRDefault="00B03144" w:rsidP="0030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1726"/>
      <w:docPartObj>
        <w:docPartGallery w:val="Page Numbers (Bottom of Page)"/>
        <w:docPartUnique/>
      </w:docPartObj>
    </w:sdtPr>
    <w:sdtEndPr/>
    <w:sdtContent>
      <w:p w:rsidR="0071777C" w:rsidRDefault="009C0161">
        <w:pPr>
          <w:pStyle w:val="Fuzeile"/>
          <w:jc w:val="right"/>
        </w:pPr>
        <w:r>
          <w:fldChar w:fldCharType="begin"/>
        </w:r>
        <w:r>
          <w:instrText xml:space="preserve"> PAGE   \* MERGEFORMAT </w:instrText>
        </w:r>
        <w:r>
          <w:fldChar w:fldCharType="separate"/>
        </w:r>
        <w:r w:rsidR="00865475">
          <w:rPr>
            <w:noProof/>
          </w:rPr>
          <w:t>2</w:t>
        </w:r>
        <w:r>
          <w:rPr>
            <w:noProof/>
          </w:rPr>
          <w:fldChar w:fldCharType="end"/>
        </w:r>
      </w:p>
    </w:sdtContent>
  </w:sdt>
  <w:p w:rsidR="0071777C" w:rsidRDefault="0071777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144" w:rsidRDefault="00B03144" w:rsidP="00300C4C">
      <w:pPr>
        <w:spacing w:after="0" w:line="240" w:lineRule="auto"/>
      </w:pPr>
      <w:r>
        <w:separator/>
      </w:r>
    </w:p>
  </w:footnote>
  <w:footnote w:type="continuationSeparator" w:id="0">
    <w:p w:rsidR="00B03144" w:rsidRDefault="00B03144" w:rsidP="00300C4C">
      <w:pPr>
        <w:spacing w:after="0" w:line="240" w:lineRule="auto"/>
      </w:pPr>
      <w:r>
        <w:continuationSeparator/>
      </w:r>
    </w:p>
  </w:footnote>
  <w:footnote w:id="1">
    <w:p w:rsidR="007245DA" w:rsidRPr="007245DA" w:rsidRDefault="007245DA">
      <w:pPr>
        <w:pStyle w:val="Funotentext"/>
        <w:rPr>
          <w:lang w:val="de-DE"/>
        </w:rPr>
      </w:pPr>
      <w:r>
        <w:rPr>
          <w:rStyle w:val="Funotenzeichen"/>
        </w:rPr>
        <w:footnoteRef/>
      </w:r>
      <w:r w:rsidRPr="007245DA">
        <w:rPr>
          <w:lang w:val="de-DE"/>
        </w:rPr>
        <w:t xml:space="preserve"> </w:t>
      </w:r>
      <w:r>
        <w:rPr>
          <w:lang w:val="de-DE"/>
        </w:rPr>
        <w:t>Die Preise</w:t>
      </w:r>
      <w:r w:rsidR="009C5A3E">
        <w:rPr>
          <w:lang w:val="de-DE"/>
        </w:rPr>
        <w:t xml:space="preserve"> beziehen sich auf das Jahr 2018</w:t>
      </w:r>
      <w:r w:rsidR="005A3329">
        <w:rPr>
          <w:lang w:val="de-DE"/>
        </w:rPr>
        <w:t xml:space="preserve">, wir gehen davon aus, dass </w:t>
      </w:r>
      <w:r w:rsidR="009C5A3E">
        <w:rPr>
          <w:lang w:val="de-DE"/>
        </w:rPr>
        <w:t>sie sich für 20</w:t>
      </w:r>
      <w:r w:rsidR="00865475">
        <w:rPr>
          <w:lang w:val="de-DE"/>
        </w:rPr>
        <w:t>18/</w:t>
      </w:r>
      <w:bookmarkStart w:id="0" w:name="_GoBack"/>
      <w:bookmarkEnd w:id="0"/>
      <w:r w:rsidR="009C5A3E">
        <w:rPr>
          <w:lang w:val="de-DE"/>
        </w:rPr>
        <w:t>19</w:t>
      </w:r>
      <w:r w:rsidR="005A3329">
        <w:rPr>
          <w:lang w:val="de-DE"/>
        </w:rPr>
        <w:t xml:space="preserve"> nicht </w:t>
      </w:r>
      <w:r w:rsidR="009C5A3E">
        <w:rPr>
          <w:lang w:val="de-DE"/>
        </w:rPr>
        <w:t>nennenswert</w:t>
      </w:r>
      <w:r w:rsidR="005A3329">
        <w:rPr>
          <w:lang w:val="de-DE"/>
        </w:rPr>
        <w:t xml:space="preserve"> ändern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4C" w:rsidRDefault="009C5A3E" w:rsidP="00300C4C">
    <w:pPr>
      <w:pStyle w:val="Kopfzeile"/>
      <w:rPr>
        <w:noProof/>
        <w:lang w:val="de-DE" w:eastAsia="de-DE"/>
      </w:rPr>
    </w:pPr>
    <w:r>
      <w:rPr>
        <w:noProof/>
        <w:lang w:val="de-DE" w:eastAsia="de-DE"/>
      </w:rPr>
      <w:t>MTS Hofheim</w:t>
    </w:r>
  </w:p>
  <w:p w:rsidR="009C5A3E" w:rsidRDefault="009C5A3E" w:rsidP="00300C4C">
    <w:pPr>
      <w:pStyle w:val="Kopfzeile"/>
      <w:rPr>
        <w:noProof/>
        <w:lang w:val="de-DE" w:eastAsia="de-DE"/>
      </w:rPr>
    </w:pPr>
    <w:r>
      <w:rPr>
        <w:noProof/>
        <w:lang w:val="de-DE" w:eastAsia="de-DE"/>
      </w:rPr>
      <w:t>Fachschaft Spanisch</w:t>
    </w:r>
  </w:p>
  <w:p w:rsidR="009C5A3E" w:rsidRPr="00C06C28" w:rsidRDefault="009C5A3E" w:rsidP="00300C4C">
    <w:pPr>
      <w:pStyle w:val="Kopfzeile"/>
      <w:rPr>
        <w:sz w:val="16"/>
        <w:szCs w:val="16"/>
      </w:rPr>
    </w:pPr>
    <w:r>
      <w:rPr>
        <w:noProof/>
        <w:lang w:val="de-DE" w:eastAsia="de-DE"/>
      </w:rPr>
      <w:t>Tiecke</w:t>
    </w:r>
  </w:p>
  <w:p w:rsidR="00300C4C" w:rsidRDefault="00300C4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85AFB"/>
    <w:multiLevelType w:val="hybridMultilevel"/>
    <w:tmpl w:val="44F61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00C4C"/>
    <w:rsid w:val="000448EF"/>
    <w:rsid w:val="001554E7"/>
    <w:rsid w:val="001B5EA3"/>
    <w:rsid w:val="00280FE4"/>
    <w:rsid w:val="00300C4C"/>
    <w:rsid w:val="00375B8A"/>
    <w:rsid w:val="00385B1B"/>
    <w:rsid w:val="0057049E"/>
    <w:rsid w:val="005A3329"/>
    <w:rsid w:val="005B724F"/>
    <w:rsid w:val="00665153"/>
    <w:rsid w:val="0071777C"/>
    <w:rsid w:val="007245DA"/>
    <w:rsid w:val="007914C4"/>
    <w:rsid w:val="007D0A92"/>
    <w:rsid w:val="00865475"/>
    <w:rsid w:val="008D5C72"/>
    <w:rsid w:val="009258C2"/>
    <w:rsid w:val="009C0161"/>
    <w:rsid w:val="009C5A3E"/>
    <w:rsid w:val="00A43CFA"/>
    <w:rsid w:val="00B03144"/>
    <w:rsid w:val="00B40479"/>
    <w:rsid w:val="00B96C05"/>
    <w:rsid w:val="00C01DC2"/>
    <w:rsid w:val="00CC087A"/>
    <w:rsid w:val="00D24E07"/>
    <w:rsid w:val="00DC794B"/>
    <w:rsid w:val="00DD7190"/>
    <w:rsid w:val="00DE0902"/>
    <w:rsid w:val="00E82EA4"/>
    <w:rsid w:val="00EB7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3CFA"/>
    <w:rPr>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0C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0C4C"/>
    <w:rPr>
      <w:lang w:val="es-ES"/>
    </w:rPr>
  </w:style>
  <w:style w:type="paragraph" w:styleId="Fuzeile">
    <w:name w:val="footer"/>
    <w:basedOn w:val="Standard"/>
    <w:link w:val="FuzeileZchn"/>
    <w:uiPriority w:val="99"/>
    <w:unhideWhenUsed/>
    <w:rsid w:val="00300C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0C4C"/>
    <w:rPr>
      <w:lang w:val="es-ES"/>
    </w:rPr>
  </w:style>
  <w:style w:type="paragraph" w:styleId="Sprechblasentext">
    <w:name w:val="Balloon Text"/>
    <w:basedOn w:val="Standard"/>
    <w:link w:val="SprechblasentextZchn"/>
    <w:uiPriority w:val="99"/>
    <w:semiHidden/>
    <w:unhideWhenUsed/>
    <w:rsid w:val="00300C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0C4C"/>
    <w:rPr>
      <w:rFonts w:ascii="Tahoma" w:hAnsi="Tahoma" w:cs="Tahoma"/>
      <w:sz w:val="16"/>
      <w:szCs w:val="16"/>
      <w:lang w:val="es-ES"/>
    </w:rPr>
  </w:style>
  <w:style w:type="character" w:styleId="Hervorhebung">
    <w:name w:val="Emphasis"/>
    <w:basedOn w:val="Absatz-Standardschriftart"/>
    <w:uiPriority w:val="20"/>
    <w:qFormat/>
    <w:rsid w:val="00300C4C"/>
    <w:rPr>
      <w:i/>
      <w:iCs/>
    </w:rPr>
  </w:style>
  <w:style w:type="paragraph" w:styleId="Listenabsatz">
    <w:name w:val="List Paragraph"/>
    <w:basedOn w:val="Standard"/>
    <w:uiPriority w:val="34"/>
    <w:qFormat/>
    <w:rsid w:val="007D0A92"/>
    <w:pPr>
      <w:ind w:left="720"/>
      <w:contextualSpacing/>
    </w:pPr>
  </w:style>
  <w:style w:type="paragraph" w:styleId="Funotentext">
    <w:name w:val="footnote text"/>
    <w:basedOn w:val="Standard"/>
    <w:link w:val="FunotentextZchn"/>
    <w:uiPriority w:val="99"/>
    <w:semiHidden/>
    <w:unhideWhenUsed/>
    <w:rsid w:val="007245D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245DA"/>
    <w:rPr>
      <w:sz w:val="20"/>
      <w:szCs w:val="20"/>
      <w:lang w:val="es-ES"/>
    </w:rPr>
  </w:style>
  <w:style w:type="character" w:styleId="Funotenzeichen">
    <w:name w:val="footnote reference"/>
    <w:basedOn w:val="Absatz-Standardschriftart"/>
    <w:uiPriority w:val="99"/>
    <w:semiHidden/>
    <w:unhideWhenUsed/>
    <w:rsid w:val="007245DA"/>
    <w:rPr>
      <w:vertAlign w:val="superscript"/>
    </w:rPr>
  </w:style>
  <w:style w:type="character" w:styleId="Hyperlink">
    <w:name w:val="Hyperlink"/>
    <w:basedOn w:val="Absatz-Standardschriftart"/>
    <w:uiPriority w:val="99"/>
    <w:unhideWhenUsed/>
    <w:rsid w:val="001554E7"/>
    <w:rPr>
      <w:color w:val="0000FF" w:themeColor="hyperlink"/>
      <w:u w:val="single"/>
    </w:rPr>
  </w:style>
  <w:style w:type="table" w:styleId="Tabellenraster">
    <w:name w:val="Table Grid"/>
    <w:basedOn w:val="NormaleTabelle"/>
    <w:uiPriority w:val="59"/>
    <w:rsid w:val="001554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59A73-ED6F-4DE3-9173-D946D5401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Schulli</dc:creator>
  <cp:lastModifiedBy>Paulemainz</cp:lastModifiedBy>
  <cp:revision>5</cp:revision>
  <cp:lastPrinted>2018-03-11T18:53:00Z</cp:lastPrinted>
  <dcterms:created xsi:type="dcterms:W3CDTF">2018-03-11T12:24:00Z</dcterms:created>
  <dcterms:modified xsi:type="dcterms:W3CDTF">2018-03-11T18:55:00Z</dcterms:modified>
</cp:coreProperties>
</file>